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8D77" w14:textId="1B9F58EA" w:rsidR="003808BB" w:rsidRDefault="003808BB" w:rsidP="003808BB">
      <w:p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88075A">
        <w:rPr>
          <w:rFonts w:ascii="Arial" w:hAnsi="Arial" w:cs="Arial"/>
          <w:b/>
          <w:bCs/>
          <w:color w:val="002060"/>
          <w:sz w:val="22"/>
          <w:szCs w:val="22"/>
        </w:rPr>
        <w:t>Перечень функций приборов учета электрической энергии, которые могут быть присоединены к интеллектуальной системе учета, и требования к ним</w:t>
      </w:r>
    </w:p>
    <w:p w14:paraId="4B22B9DC" w14:textId="77777777" w:rsidR="003808BB" w:rsidRPr="0088075A" w:rsidRDefault="003808BB" w:rsidP="003808BB">
      <w:pPr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2E6DF735" w14:textId="77777777" w:rsidR="003808BB" w:rsidRPr="0088075A" w:rsidRDefault="003808BB" w:rsidP="003808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Прибор учета электрической энергии, который может быть присоединен к интеллектуальной системе учета, должен удовлетворять требованиям, предъявляемым законодательством РФ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в точке учета:</w:t>
      </w:r>
    </w:p>
    <w:p w14:paraId="4BB18917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Измерение активной и реактивной энергии в сетях переменного тока в двух направлениях с классом точности 1,0 и выше по активной энергии и 2,0 по реактивной энергии (0,5S и выше по активной энергии и 1,0 по реактивной энергии для приборов учета электрической энергии трансформаторного включения)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энергии.</w:t>
      </w:r>
    </w:p>
    <w:p w14:paraId="74E51337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Возможность выполнения измерений с применением коэффициентов трансформации измерительных трансформаторов тока и напряжения (для приборов учета электрической энергии трансформаторного включения).</w:t>
      </w:r>
    </w:p>
    <w:p w14:paraId="131F1959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Ведение времени независимо от наличия напряжения в питающей сети с абсолютной погрешностью хода внутренних часов не более 5 секунд в сутки, а также с возможностью смены часового пояса.</w:t>
      </w:r>
    </w:p>
    <w:p w14:paraId="2B1C2242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Возможность синхронизации и коррекции времени с внешним источником сигналов точного времени.</w:t>
      </w:r>
    </w:p>
    <w:p w14:paraId="715AF6EB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(далее - тарифное расписание).</w:t>
      </w:r>
    </w:p>
    <w:p w14:paraId="49BF975F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200"/>
        <w:ind w:left="426" w:hanging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измерение и вычисление:</w:t>
      </w:r>
    </w:p>
    <w:p w14:paraId="561EF70B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фазного напряжения в каждой фазе;</w:t>
      </w:r>
    </w:p>
    <w:p w14:paraId="7CF85189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линейного напряжения (для трехфазных приборов учета электрической энергии);</w:t>
      </w:r>
    </w:p>
    <w:p w14:paraId="5D5CEE3A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фазного тока в каждой фазе;</w:t>
      </w:r>
    </w:p>
    <w:p w14:paraId="512C11D8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активной, реактивной и полной мощности в каждой фазе и суммарной мощности;</w:t>
      </w:r>
    </w:p>
    <w:p w14:paraId="22B55F17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значения тока в нулевом проводе (для однофазного прибора учета электрической энергии);</w:t>
      </w:r>
    </w:p>
    <w:p w14:paraId="230DC41B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небаланса токов в фазном и нулевом проводах (для однофазного прибора учета электрической энергии);</w:t>
      </w:r>
    </w:p>
    <w:p w14:paraId="622915F9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частоты электрической сети.</w:t>
      </w:r>
    </w:p>
    <w:p w14:paraId="5D3CED50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Нарушение индивидуальных параметров качества электроснабжения (погрешность измерения параметров должна соответствовать классу S или выше согласно </w:t>
      </w:r>
      <w:hyperlink r:id="rId5" w:history="1">
        <w:r w:rsidRPr="0088075A">
          <w:rPr>
            <w:rFonts w:ascii="Arial" w:hAnsi="Arial" w:cs="Arial"/>
            <w:sz w:val="22"/>
            <w:szCs w:val="22"/>
          </w:rPr>
          <w:t>ГОСТ 30804.4.30-2013</w:t>
        </w:r>
      </w:hyperlink>
      <w:r w:rsidRPr="0088075A">
        <w:rPr>
          <w:rFonts w:ascii="Arial" w:hAnsi="Arial" w:cs="Arial"/>
          <w:sz w:val="22"/>
          <w:szCs w:val="22"/>
        </w:rPr>
        <w:t>).</w:t>
      </w:r>
    </w:p>
    <w:p w14:paraId="0568F992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lastRenderedPageBreak/>
        <w:t>Контроль наличия внешнего переменного и постоянного магнитного поля.</w:t>
      </w:r>
    </w:p>
    <w:p w14:paraId="273B11E9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Отображение на встроенном и (или) выносном цифровом дисплее:</w:t>
      </w:r>
    </w:p>
    <w:p w14:paraId="202AD025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текущих даты и времени;</w:t>
      </w:r>
    </w:p>
    <w:p w14:paraId="257FCD45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текущих значений потребленной электрической энергии суммарно и по тарифным зонам;</w:t>
      </w:r>
    </w:p>
    <w:p w14:paraId="32F2A1E4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текущих значений активной и реактивной мощности, напряжения, тока и частоты;</w:t>
      </w:r>
    </w:p>
    <w:p w14:paraId="213968CB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значения потребленной электрической энергии на начало расчетного периода суммарно и по тарифным зонам;</w:t>
      </w:r>
    </w:p>
    <w:p w14:paraId="3275F9BB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индикатора режима приема и отдачи электрической энергии;</w:t>
      </w:r>
    </w:p>
    <w:p w14:paraId="72FA476F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индикатора факта нарушения индивидуальных параметров качества электроснабжения;</w:t>
      </w:r>
    </w:p>
    <w:p w14:paraId="069358A0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индикатора вскрытия электронных пломб на корпусе и клеммной крышке прибора учета электрической энергии;</w:t>
      </w:r>
    </w:p>
    <w:p w14:paraId="5DBBA9CC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индикатора факта события воздействия магнитных полей со значением модуля вектора магнитной индукции свыше 150 </w:t>
      </w:r>
      <w:proofErr w:type="spellStart"/>
      <w:r w:rsidRPr="0088075A">
        <w:rPr>
          <w:rFonts w:ascii="Arial" w:hAnsi="Arial" w:cs="Arial"/>
          <w:sz w:val="22"/>
          <w:szCs w:val="22"/>
        </w:rPr>
        <w:t>мТл</w:t>
      </w:r>
      <w:proofErr w:type="spellEnd"/>
      <w:r w:rsidRPr="0088075A">
        <w:rPr>
          <w:rFonts w:ascii="Arial" w:hAnsi="Arial" w:cs="Arial"/>
          <w:sz w:val="22"/>
          <w:szCs w:val="22"/>
        </w:rPr>
        <w:t xml:space="preserve"> (пиковое значение) на элементы прибора учета электрической энергии;</w:t>
      </w:r>
    </w:p>
    <w:p w14:paraId="036DCF61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индикатора неработоспособности прибора учета электрической энергии вследствие аппаратного или программного сбоя.</w:t>
      </w:r>
    </w:p>
    <w:p w14:paraId="26B96EAB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Отображение информации в единицах величин, допущенных к применению в Российской Федерации </w:t>
      </w:r>
      <w:hyperlink r:id="rId6" w:history="1">
        <w:r w:rsidRPr="0088075A">
          <w:rPr>
            <w:rFonts w:ascii="Arial" w:hAnsi="Arial" w:cs="Arial"/>
            <w:sz w:val="22"/>
            <w:szCs w:val="22"/>
          </w:rPr>
          <w:t>Положением</w:t>
        </w:r>
      </w:hyperlink>
      <w:r w:rsidRPr="0088075A">
        <w:rPr>
          <w:rFonts w:ascii="Arial" w:hAnsi="Arial" w:cs="Arial"/>
          <w:sz w:val="22"/>
          <w:szCs w:val="22"/>
        </w:rPr>
        <w:t xml:space="preserve"> о единицах величин, допускаемых к применению в Российской Федерации, утвержденным постановлением Правительства Российской Федерации от 31 октября 2009 г. № 879 "Об утверждении Положения о единицах величин, допускаемых к применению в Российской Федерации" (обозначение активной электрической энергии - в </w:t>
      </w:r>
      <w:proofErr w:type="spellStart"/>
      <w:r w:rsidRPr="0088075A">
        <w:rPr>
          <w:rFonts w:ascii="Arial" w:hAnsi="Arial" w:cs="Arial"/>
          <w:sz w:val="22"/>
          <w:szCs w:val="22"/>
        </w:rPr>
        <w:t>кВт·ч</w:t>
      </w:r>
      <w:proofErr w:type="spellEnd"/>
      <w:r w:rsidRPr="0088075A">
        <w:rPr>
          <w:rFonts w:ascii="Arial" w:hAnsi="Arial" w:cs="Arial"/>
          <w:sz w:val="22"/>
          <w:szCs w:val="22"/>
        </w:rPr>
        <w:t xml:space="preserve">, реактивной - в </w:t>
      </w:r>
      <w:proofErr w:type="spellStart"/>
      <w:r w:rsidRPr="0088075A">
        <w:rPr>
          <w:rFonts w:ascii="Arial" w:hAnsi="Arial" w:cs="Arial"/>
          <w:sz w:val="22"/>
          <w:szCs w:val="22"/>
        </w:rPr>
        <w:t>кВАр·ч</w:t>
      </w:r>
      <w:proofErr w:type="spellEnd"/>
      <w:r w:rsidRPr="0088075A">
        <w:rPr>
          <w:rFonts w:ascii="Arial" w:hAnsi="Arial" w:cs="Arial"/>
          <w:sz w:val="22"/>
          <w:szCs w:val="22"/>
        </w:rPr>
        <w:t>).</w:t>
      </w:r>
    </w:p>
    <w:p w14:paraId="32D752F7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Индикацию функционирования (работоспособного состояния) на корпусе и выносном дисплее (при наличии выносного дисплея).</w:t>
      </w:r>
    </w:p>
    <w:p w14:paraId="09969417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Наличие 2 интерфейсов связи для организации канала связи (оптического и иного другого), а в отношении приборов учета электрической энергии трансформаторного включения также по цифровому электрическому интерфейсу связи RS-485 или цифровому электрическому интерфейсу связи Ethernet.</w:t>
      </w:r>
    </w:p>
    <w:p w14:paraId="70BBFF55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 Защиту прибора учета электрической энергии от несанкционированного доступа с помощью реализации в приборе учета:</w:t>
      </w:r>
    </w:p>
    <w:p w14:paraId="773F5CEE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идентификации и аутентификации;</w:t>
      </w:r>
    </w:p>
    <w:p w14:paraId="54DD1CCE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контроля доступа;</w:t>
      </w:r>
    </w:p>
    <w:p w14:paraId="41A6FEE6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контроля целостности;</w:t>
      </w:r>
    </w:p>
    <w:p w14:paraId="3E8DA541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регистрации событий безопасности в журнале событий.</w:t>
      </w:r>
    </w:p>
    <w:p w14:paraId="5B099770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Фиксирование несанкционированного доступа к прибору учета посредством энергонезависимой электронной пломбы, фиксирующей вскрытие клеммной крышки и вскрытие корпуса (для разборных корпусов).</w:t>
      </w:r>
    </w:p>
    <w:p w14:paraId="1A0381F3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lastRenderedPageBreak/>
        <w:t xml:space="preserve"> 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</w:t>
      </w:r>
      <w:proofErr w:type="spellStart"/>
      <w:r w:rsidRPr="0088075A">
        <w:rPr>
          <w:rFonts w:ascii="Arial" w:hAnsi="Arial" w:cs="Arial"/>
          <w:sz w:val="22"/>
          <w:szCs w:val="22"/>
        </w:rPr>
        <w:t>мТл</w:t>
      </w:r>
      <w:proofErr w:type="spellEnd"/>
      <w:r w:rsidRPr="0088075A">
        <w:rPr>
          <w:rFonts w:ascii="Arial" w:hAnsi="Arial" w:cs="Arial"/>
          <w:sz w:val="22"/>
          <w:szCs w:val="22"/>
        </w:rPr>
        <w:t xml:space="preserve"> (пиковое значение).</w:t>
      </w:r>
    </w:p>
    <w:p w14:paraId="139D0E16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Запись событий в отдельные выделенные сегменты энергонезависимой памяти прибора учета электрической энергии (с указанием даты и времени), результатов нарушения индивидуальных параметров качества электроснабжения - в отдельные выделенные сегменты энергонезависимой памяти прибора учета электрической энергии (далее соответственно - журнал событий, ведение журнала событий) в объеме не менее чем на 500 записей.</w:t>
      </w:r>
    </w:p>
    <w:p w14:paraId="0B322E6C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Ведение журнала событий, в котором должно фиксироваться следующее:</w:t>
      </w:r>
    </w:p>
    <w:p w14:paraId="1F2BA334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дата и время вскрытия клеммной крышки;</w:t>
      </w:r>
    </w:p>
    <w:p w14:paraId="6820BDAE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дата и время вскрытия корпуса прибора учета электрической энергии (для разборных корпусов);</w:t>
      </w:r>
    </w:p>
    <w:p w14:paraId="4B19BA77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дата, время и причина включения и отключения встроенного коммутационного аппарата;</w:t>
      </w:r>
    </w:p>
    <w:p w14:paraId="3513438B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дата и время последнего перепрограммирования;</w:t>
      </w:r>
    </w:p>
    <w:p w14:paraId="3F12FCF2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дата, время, тип и параметры выполненной команды;</w:t>
      </w:r>
    </w:p>
    <w:p w14:paraId="567E9466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попытка доступа с неуспешной идентификацией и (или) аутентификацией;</w:t>
      </w:r>
    </w:p>
    <w:p w14:paraId="510FE7A4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попытка доступа с нарушением правил управления доступом;</w:t>
      </w:r>
    </w:p>
    <w:p w14:paraId="6A366F91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попытка несанкционированного нарушения целостности программного обеспечения и параметров;</w:t>
      </w:r>
    </w:p>
    <w:p w14:paraId="45630A95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изменение направления перетока мощности (для однофазных и трехфазных приборов учета электрической энергии);</w:t>
      </w:r>
    </w:p>
    <w:p w14:paraId="0399C81B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дата и время воздействия постоянного или переменного магнитного поля со значением модуля вектора магнитной индукции свыше 150 </w:t>
      </w:r>
      <w:proofErr w:type="spellStart"/>
      <w:r w:rsidRPr="0088075A">
        <w:rPr>
          <w:rFonts w:ascii="Arial" w:hAnsi="Arial" w:cs="Arial"/>
          <w:sz w:val="22"/>
          <w:szCs w:val="22"/>
        </w:rPr>
        <w:t>мТл</w:t>
      </w:r>
      <w:proofErr w:type="spellEnd"/>
      <w:r w:rsidRPr="0088075A">
        <w:rPr>
          <w:rFonts w:ascii="Arial" w:hAnsi="Arial" w:cs="Arial"/>
          <w:sz w:val="22"/>
          <w:szCs w:val="22"/>
        </w:rPr>
        <w:t xml:space="preserve"> (пиковое значение) с визуализацией индикации;</w:t>
      </w:r>
    </w:p>
    <w:p w14:paraId="3D9E5C58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факт связи с прибором учета электрической энергии, приведшей к изменению параметров конфигурации, режимов функционирования (в том числе введение полного и (или) частичного ограничения (возобновления) режима потребления электрической энергии (управление нагрузкой);</w:t>
      </w:r>
    </w:p>
    <w:p w14:paraId="7F498012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дата и время отклонения напряжения в измерительных цепях от заданных пределов;</w:t>
      </w:r>
    </w:p>
    <w:p w14:paraId="41C32627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отсутствие или низкое напряжение при наличии тока в измерительных цепях с конфигурируемыми порогами (кроме однофазных и трехфазных приборов учета электрической энергии прямого включения);</w:t>
      </w:r>
    </w:p>
    <w:p w14:paraId="769B8A7E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напряжения;</w:t>
      </w:r>
    </w:p>
    <w:p w14:paraId="481D0C4B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инверсия фазы или нарушение чередования фаз (для трехфазных приборов учета электрической энергии);</w:t>
      </w:r>
    </w:p>
    <w:p w14:paraId="1D6D714A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превышение соотношения величин потребления активной и реактивной мощности;</w:t>
      </w:r>
    </w:p>
    <w:p w14:paraId="0A9FE7C5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lastRenderedPageBreak/>
        <w:t>небаланс тока в нулевом и фазном проводе (для однофазных приборов учета электрической энергии);</w:t>
      </w:r>
    </w:p>
    <w:p w14:paraId="338B39C6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E4707F">
        <w:rPr>
          <w:rFonts w:ascii="Arial" w:hAnsi="Arial" w:cs="Arial"/>
          <w:sz w:val="22"/>
          <w:szCs w:val="22"/>
        </w:rPr>
        <w:t>превышение заданного предела мощности</w:t>
      </w:r>
      <w:r w:rsidRPr="0088075A">
        <w:rPr>
          <w:rFonts w:ascii="Arial" w:hAnsi="Arial" w:cs="Arial"/>
          <w:sz w:val="22"/>
          <w:szCs w:val="22"/>
        </w:rPr>
        <w:t>.</w:t>
      </w:r>
    </w:p>
    <w:p w14:paraId="7F342629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Формирование по результатам автоматической самодиагностики обобщенного события или каждого факта события.</w:t>
      </w:r>
    </w:p>
    <w:p w14:paraId="0EA8ECCE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времени, на которую было скорректировано значение.</w:t>
      </w:r>
    </w:p>
    <w:p w14:paraId="019162B2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возможность полного и (или) частичного ограничения (возобновления) режима потребления электрической энергии, приостановление или ограничение предоставления коммунальной услуги (управление нагрузкой) с использованием встроенного коммутационного аппарата, в том числе путем его фиксации в положении "отключено" непосредственно на приборе учета электрической энергии (кроме приборов учета электрической энергии трансформаторного включения), в следующих случаях:</w:t>
      </w:r>
    </w:p>
    <w:p w14:paraId="4184018F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запрос интеллектуальной системы учета;</w:t>
      </w:r>
    </w:p>
    <w:p w14:paraId="003C9BF4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превышение заданных в приборе учета электрической энергии пределов параметров электрической сети;</w:t>
      </w:r>
    </w:p>
    <w:p w14:paraId="303785C8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превышение заданного в приборе учета электрической энергии предела электрической энергии (мощности);</w:t>
      </w:r>
    </w:p>
    <w:p w14:paraId="5D140E97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несанкционированный доступ к прибору учета электрической энергии (вскрытие клеммной крышки, вскрытие корпуса (для разборных корпусов) и воздействие постоянным и переменным магнитным полем)</w:t>
      </w:r>
      <w:r>
        <w:rPr>
          <w:rFonts w:ascii="Arial" w:hAnsi="Arial" w:cs="Arial"/>
          <w:sz w:val="22"/>
          <w:szCs w:val="22"/>
        </w:rPr>
        <w:t>.</w:t>
      </w:r>
    </w:p>
    <w:p w14:paraId="6580A346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возобновление подачи электрической энергии по запросу интеллектуальной системы учета, в том числе путем фиксации встроенного коммутационного аппарата в положении "включено" непосредственно на приборе учета электрической энергии.</w:t>
      </w:r>
    </w:p>
    <w:p w14:paraId="1304AE44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Хранение профиля принятой и отданной активной и реактивной энергии (мощности) с программируемым интервалом времени интегрирования от 1 минуты до 60 минут и периодом хранения не менее 90 суток (при времени интегрирования 30 минут).</w:t>
      </w:r>
    </w:p>
    <w:p w14:paraId="359E2784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периодов.</w:t>
      </w:r>
    </w:p>
    <w:p w14:paraId="0F5ED15E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Обеспечение энергонезависимого хранения журнала событий, выявление фактов изменения (искажения) информации, влияющих на информацию о количестве и иных параметрах электрической энергии, а также фактов изменения (искажения) программного обеспечения прибора учета электрической энергии.</w:t>
      </w:r>
    </w:p>
    <w:p w14:paraId="4392B187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Возможность организации с использованием защищенных протоколов передачи данных из состава протоколов, утвержденных Министерством цифрового развития, связи и </w:t>
      </w:r>
      <w:r w:rsidRPr="0088075A">
        <w:rPr>
          <w:rFonts w:ascii="Arial" w:hAnsi="Arial" w:cs="Arial"/>
          <w:sz w:val="22"/>
          <w:szCs w:val="22"/>
        </w:rPr>
        <w:lastRenderedPageBreak/>
        <w:t>массовых коммуникаций Российской Федерации по согласованию с Министерством энергетики Российской Федерации, информационного обмена с интеллектуальной системой учета, в том числе передачи показаний, предоставления информации о результатах измерения количества и иных параметров электрической энергии, передачи журналов событий и данных о параметрах настройки, а также удаленного управления прибором учета электрической энергии, не влияющих на результаты выполняемых приборами учета электрической энергии измерений, включая:</w:t>
      </w:r>
    </w:p>
    <w:p w14:paraId="6DB17297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корректировку текущей даты и (или) времени, часового пояса;</w:t>
      </w:r>
    </w:p>
    <w:p w14:paraId="4B85EFEF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изменение тарифного расписания;</w:t>
      </w:r>
    </w:p>
    <w:p w14:paraId="6C527F02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программирование состава и последовательности вывода сообщений и измеряемых параметров на дисплей;</w:t>
      </w:r>
    </w:p>
    <w:p w14:paraId="33DF721A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программирование параметров фиксации индивидуальных параметров качества электроснабжения;</w:t>
      </w:r>
    </w:p>
    <w:p w14:paraId="1E292B62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программирование даты начала расчетного периода;</w:t>
      </w:r>
    </w:p>
    <w:p w14:paraId="2C722392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программирование параметров срабатывания встроенных коммутационных аппаратов;</w:t>
      </w:r>
    </w:p>
    <w:p w14:paraId="31CB7121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изменение паролей доступа к параметрам;</w:t>
      </w:r>
    </w:p>
    <w:p w14:paraId="64BFD7B4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изменение ключей шифрования;</w:t>
      </w:r>
    </w:p>
    <w:p w14:paraId="2EC2F0A1" w14:textId="77777777" w:rsidR="003808BB" w:rsidRPr="0088075A" w:rsidRDefault="003808BB" w:rsidP="003808BB">
      <w:pPr>
        <w:pStyle w:val="a4"/>
        <w:numPr>
          <w:ilvl w:val="0"/>
          <w:numId w:val="2"/>
        </w:numPr>
        <w:ind w:left="0" w:firstLine="426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управление встроенным коммутационным аппаратом путем его фиксации в положении "отключено" (кроме приборов учета электрической энергии трансформаторного включения).</w:t>
      </w:r>
    </w:p>
    <w:p w14:paraId="07961AF9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>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состава.</w:t>
      </w:r>
    </w:p>
    <w:p w14:paraId="249564B4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Для приборов учета электрической энергии непосредственного включения необходимо наличие возможности физической (аппаратной) блокировки срабатывания встроенного коммутационного аппарата, используемого для полного и (или) частичного ограничения (возобновления) режима потребления электрической энергии, приостановления или ограничения предоставления коммунальной услуги (управление нагрузкой). Реализация физической (аппаратной) блокировки должна сопровождаться процессом опломбирования.</w:t>
      </w:r>
    </w:p>
    <w:p w14:paraId="1245013E" w14:textId="77777777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Приборы учета должны поддерживать протокол обмена данными в соответствии со спецификацией СПОДЭС (Спецификация протокола обмена данными электронных счетчиков).</w:t>
      </w:r>
    </w:p>
    <w:p w14:paraId="7C4D75AC" w14:textId="20B0F3CF" w:rsidR="003808BB" w:rsidRPr="0088075A" w:rsidRDefault="003808BB" w:rsidP="003808BB">
      <w:pPr>
        <w:pStyle w:val="a4"/>
        <w:numPr>
          <w:ilvl w:val="0"/>
          <w:numId w:val="1"/>
        </w:numPr>
        <w:spacing w:after="160"/>
        <w:ind w:left="0" w:firstLine="567"/>
        <w:rPr>
          <w:rFonts w:ascii="Arial" w:hAnsi="Arial" w:cs="Arial"/>
          <w:sz w:val="22"/>
          <w:szCs w:val="22"/>
        </w:rPr>
      </w:pPr>
      <w:r w:rsidRPr="0088075A">
        <w:rPr>
          <w:rFonts w:ascii="Arial" w:hAnsi="Arial" w:cs="Arial"/>
          <w:sz w:val="22"/>
          <w:szCs w:val="22"/>
        </w:rPr>
        <w:t xml:space="preserve"> Приборы учета должны быть из числа поддерживаемых программным обеспечением «Пирамида 2.0.</w:t>
      </w:r>
    </w:p>
    <w:sectPr w:rsidR="003808BB" w:rsidRPr="0088075A" w:rsidSect="003808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569F"/>
    <w:multiLevelType w:val="hybridMultilevel"/>
    <w:tmpl w:val="17E61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56CF950">
      <w:numFmt w:val="bullet"/>
      <w:lvlText w:val="•"/>
      <w:lvlJc w:val="left"/>
      <w:pPr>
        <w:ind w:left="1605" w:hanging="525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598B"/>
    <w:multiLevelType w:val="hybridMultilevel"/>
    <w:tmpl w:val="DAD470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BB"/>
    <w:rsid w:val="000815BF"/>
    <w:rsid w:val="0038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DAE2"/>
  <w15:chartTrackingRefBased/>
  <w15:docId w15:val="{8B650568-8615-4BF0-AD2B-10B48930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08BB"/>
    <w:rPr>
      <w:color w:val="0000FF"/>
      <w:u w:val="single"/>
    </w:rPr>
  </w:style>
  <w:style w:type="paragraph" w:styleId="a4">
    <w:name w:val="List Paragraph"/>
    <w:aliases w:val="Bullet List,FooterText,numbered,Алроса_маркер (Уровень 4),Маркер,ПАРАГРАФ,Абзац списка2,Цветной список - Акцент 11,Список нумерованный цифры,-Абзац списка,List Paragraph3"/>
    <w:basedOn w:val="a"/>
    <w:link w:val="a5"/>
    <w:uiPriority w:val="34"/>
    <w:qFormat/>
    <w:rsid w:val="003808BB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Алроса_маркер (Уровень 4) Знак,Маркер Знак,ПАРАГРАФ Знак,Абзац списка2 Знак,Цветной список - Акцент 11 Знак,Список нумерованный цифры Знак,-Абзац списка Знак,List Paragraph3 Знак"/>
    <w:link w:val="a4"/>
    <w:uiPriority w:val="34"/>
    <w:rsid w:val="00380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CCC4CC44E8109B9386CB486D002F4A2226B8EECB41A293C968290497BEE6688A2F258DA0B6EBD46E942AD8A3EE2A3320DB03F1FC3C473E060U" TargetMode="External"/><Relationship Id="rId5" Type="http://schemas.openxmlformats.org/officeDocument/2006/relationships/hyperlink" Target="consultantplus://offline/ref=70FCCC4CC44E8109B93873A183D002F4A22D678AE7B9472334CF8E924E74B1638FB3F258D8156FBC50E016FEEC6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1751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2021-07-21T11:58:00Z</dcterms:created>
  <dcterms:modified xsi:type="dcterms:W3CDTF">2021-07-21T12:00:00Z</dcterms:modified>
</cp:coreProperties>
</file>